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3C76" w14:textId="77777777" w:rsidR="00156040" w:rsidRPr="00C80308" w:rsidRDefault="00F3606C" w:rsidP="00156040">
      <w:pPr>
        <w:tabs>
          <w:tab w:val="left" w:pos="2410"/>
        </w:tabs>
        <w:suppressAutoHyphens/>
        <w:rPr>
          <w:rFonts w:ascii="Verdana" w:hAnsi="Verdana"/>
          <w:color w:val="FEBE10"/>
          <w:sz w:val="48"/>
          <w:szCs w:val="48"/>
          <w:lang w:val="fr-FR"/>
        </w:rPr>
      </w:pPr>
      <w:r>
        <w:rPr>
          <w:rFonts w:ascii="Verdana" w:hAnsi="Verdana"/>
          <w:color w:val="FEBE10"/>
          <w:sz w:val="48"/>
          <w:szCs w:val="48"/>
          <w:lang w:val="fr-FR"/>
        </w:rPr>
        <w:t xml:space="preserve">HYGIENE </w:t>
      </w:r>
      <w:r w:rsidR="00C80308" w:rsidRPr="00C80308">
        <w:rPr>
          <w:rFonts w:ascii="Verdana" w:hAnsi="Verdana"/>
          <w:color w:val="FEBE10"/>
          <w:sz w:val="48"/>
          <w:szCs w:val="48"/>
          <w:lang w:val="fr-FR"/>
        </w:rPr>
        <w:t>ECO GALVA</w:t>
      </w:r>
    </w:p>
    <w:p w14:paraId="50D75621" w14:textId="77777777" w:rsidR="00261412" w:rsidRPr="00261412" w:rsidRDefault="00261412" w:rsidP="00261412">
      <w:pPr>
        <w:tabs>
          <w:tab w:val="left" w:pos="2410"/>
        </w:tabs>
        <w:suppressAutoHyphens/>
        <w:rPr>
          <w:rFonts w:ascii="Verdana" w:hAnsi="Verdana"/>
          <w:sz w:val="20"/>
          <w:szCs w:val="20"/>
          <w:lang w:val="fr-FR"/>
        </w:rPr>
      </w:pPr>
      <w:r w:rsidRPr="00261412">
        <w:rPr>
          <w:rFonts w:ascii="Verdana" w:hAnsi="Verdana"/>
          <w:sz w:val="20"/>
          <w:szCs w:val="20"/>
          <w:lang w:val="fr-FR"/>
        </w:rPr>
        <w:t>Grâce à la technologie révolutionnaire avec une alimentation en série (le panneau avant est alimenté en premier), le radiateur ECO est parfaitement adapté aux systèmes basse température. La technologie de l’ECO garantit un haut rendement énergétique, un rayonnement maximal (même à des régimes basse température), une chauffe rapide et des déperditions de chaleur réduites du côté du mur. De plus, ce radiateur a reçu un traitement de galvanisation avant peinture, de sorte qu’il peut être utilisé sans soucis dans les zones humides.</w:t>
      </w:r>
    </w:p>
    <w:p w14:paraId="701012F7" w14:textId="77777777" w:rsidR="00261412" w:rsidRDefault="00261412" w:rsidP="00261412">
      <w:pPr>
        <w:tabs>
          <w:tab w:val="left" w:pos="2410"/>
        </w:tabs>
        <w:suppressAutoHyphens/>
        <w:rPr>
          <w:rFonts w:ascii="Verdana" w:hAnsi="Verdana"/>
          <w:sz w:val="16"/>
          <w:szCs w:val="16"/>
          <w:lang w:val="fr-FR"/>
        </w:rPr>
      </w:pPr>
    </w:p>
    <w:p w14:paraId="33B48BE9" w14:textId="77777777" w:rsidR="00261412" w:rsidRPr="00261412" w:rsidRDefault="00261412" w:rsidP="00F3606C">
      <w:pPr>
        <w:tabs>
          <w:tab w:val="left" w:pos="2410"/>
        </w:tabs>
        <w:suppressAutoHyphens/>
        <w:ind w:left="2410" w:hanging="2410"/>
        <w:rPr>
          <w:rFonts w:ascii="Verdana" w:hAnsi="Verdana"/>
          <w:sz w:val="16"/>
          <w:szCs w:val="16"/>
          <w:lang w:val="fr-FR"/>
        </w:rPr>
      </w:pPr>
      <w:r w:rsidRPr="00261412">
        <w:rPr>
          <w:rFonts w:ascii="Verdana" w:hAnsi="Verdana"/>
          <w:sz w:val="16"/>
          <w:szCs w:val="16"/>
          <w:lang w:val="fr-FR"/>
        </w:rPr>
        <w:t>Produit:</w:t>
      </w:r>
      <w:r w:rsidRPr="00261412">
        <w:rPr>
          <w:rFonts w:ascii="Verdana" w:hAnsi="Verdana"/>
          <w:sz w:val="16"/>
          <w:szCs w:val="16"/>
          <w:lang w:val="fr-FR"/>
        </w:rPr>
        <w:tab/>
        <w:t>radiateur ECO avec alimentation en série, bien adapté aux systèmes à basse température, spécialement conçu pour les environnements exigeant une hygiène et une sécurité irréprochables, galvanisé avant peinture, avec raccordement central et latéral inférieur et vanne préréglée montable à gauche ou à droite</w:t>
      </w:r>
    </w:p>
    <w:p w14:paraId="30683EFD"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Finition:</w:t>
      </w:r>
      <w:r w:rsidRPr="00261412">
        <w:rPr>
          <w:rFonts w:ascii="Verdana" w:hAnsi="Verdana"/>
          <w:sz w:val="16"/>
          <w:szCs w:val="16"/>
          <w:lang w:val="fr-FR"/>
        </w:rPr>
        <w:tab/>
        <w:t>traitement de galvanisation avant peinture et non-habillé, sans ailettes de convection</w:t>
      </w:r>
    </w:p>
    <w:p w14:paraId="2A45457B"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Prémonté:</w:t>
      </w:r>
      <w:r w:rsidRPr="00261412">
        <w:rPr>
          <w:rFonts w:ascii="Verdana" w:hAnsi="Verdana"/>
          <w:sz w:val="16"/>
          <w:szCs w:val="16"/>
          <w:lang w:val="fr-FR"/>
        </w:rPr>
        <w:tab/>
        <w:t>vanne Heimeier préréglée 4368 ou 4369, purgeur ECO et bouchons pleins</w:t>
      </w:r>
    </w:p>
    <w:p w14:paraId="3E8743CB" w14:textId="77777777" w:rsidR="00261412" w:rsidRPr="00261412" w:rsidRDefault="00261412" w:rsidP="00F3606C">
      <w:pPr>
        <w:tabs>
          <w:tab w:val="left" w:pos="2410"/>
        </w:tabs>
        <w:suppressAutoHyphens/>
        <w:ind w:left="2410" w:hanging="2410"/>
        <w:rPr>
          <w:rFonts w:ascii="Verdana" w:hAnsi="Verdana"/>
          <w:sz w:val="16"/>
          <w:szCs w:val="16"/>
          <w:lang w:val="fr-FR"/>
        </w:rPr>
      </w:pPr>
      <w:r w:rsidRPr="00261412">
        <w:rPr>
          <w:rFonts w:ascii="Verdana" w:hAnsi="Verdana"/>
          <w:sz w:val="16"/>
          <w:szCs w:val="16"/>
          <w:lang w:val="fr-FR"/>
        </w:rPr>
        <w:t>Vanne:</w:t>
      </w:r>
      <w:r w:rsidRPr="00261412">
        <w:rPr>
          <w:rFonts w:ascii="Verdana" w:hAnsi="Verdana"/>
          <w:sz w:val="16"/>
          <w:szCs w:val="16"/>
          <w:lang w:val="fr-FR"/>
        </w:rPr>
        <w:tab/>
        <w:t>La vanne réglable intégrée (sans tête thermostatique), certifiée CEN et testée selon EN215, est compatible aux têtes thermostatiques M30 x 1,5 mm. Elle est montée d’usine à droite mais peut, sur les types 20 et 30, être montée à gauche sans devoir adapter les conduites d’alimentation et de retour, ni retourner le radiateur.</w:t>
      </w:r>
    </w:p>
    <w:p w14:paraId="6640A0DB" w14:textId="77777777" w:rsidR="00261412" w:rsidRPr="00261412" w:rsidRDefault="00261412" w:rsidP="00F3606C">
      <w:pPr>
        <w:tabs>
          <w:tab w:val="left" w:pos="2410"/>
        </w:tabs>
        <w:suppressAutoHyphens/>
        <w:ind w:left="2410"/>
        <w:rPr>
          <w:rFonts w:ascii="Verdana" w:hAnsi="Verdana"/>
          <w:sz w:val="16"/>
          <w:szCs w:val="16"/>
          <w:lang w:val="fr-FR"/>
        </w:rPr>
      </w:pPr>
      <w:r w:rsidRPr="00261412">
        <w:rPr>
          <w:rFonts w:ascii="Verdana" w:hAnsi="Verdana"/>
          <w:sz w:val="16"/>
          <w:szCs w:val="16"/>
          <w:lang w:val="fr-FR"/>
        </w:rPr>
        <w:t>La vanne est préréglée en usine en fonction des dimensions du radiateur, ce qui permet d’obtenir un rendement optimal. Ce préréglage garantit par ailleurs un débit optimal dans le radiateur. Réglage en usine adapté à des installations bitube, convenant aussi pour des installations monotube (moyennant l’adaptation du réglage de la vanne sur la position 8).</w:t>
      </w:r>
    </w:p>
    <w:p w14:paraId="5867D0CB" w14:textId="03046284" w:rsidR="00261412" w:rsidRPr="00261412" w:rsidRDefault="00261412" w:rsidP="00C1275C">
      <w:pPr>
        <w:tabs>
          <w:tab w:val="left" w:pos="2410"/>
        </w:tabs>
        <w:suppressAutoHyphens/>
        <w:ind w:left="2410" w:hanging="2410"/>
        <w:rPr>
          <w:rFonts w:ascii="Verdana" w:hAnsi="Verdana"/>
          <w:sz w:val="16"/>
          <w:szCs w:val="16"/>
          <w:lang w:val="fr-FR"/>
        </w:rPr>
      </w:pPr>
      <w:r w:rsidRPr="00261412">
        <w:rPr>
          <w:rFonts w:ascii="Verdana" w:hAnsi="Verdana"/>
          <w:sz w:val="16"/>
          <w:szCs w:val="16"/>
          <w:lang w:val="fr-FR"/>
        </w:rPr>
        <w:t>Fourni avec:</w:t>
      </w:r>
      <w:r w:rsidRPr="00261412">
        <w:rPr>
          <w:rFonts w:ascii="Verdana" w:hAnsi="Verdana"/>
          <w:sz w:val="16"/>
          <w:szCs w:val="16"/>
          <w:lang w:val="fr-FR"/>
        </w:rPr>
        <w:tab/>
      </w:r>
      <w:r w:rsidR="00172FD5" w:rsidRPr="00172FD5">
        <w:rPr>
          <w:rFonts w:ascii="Verdana" w:hAnsi="Verdana"/>
          <w:sz w:val="16"/>
          <w:szCs w:val="16"/>
          <w:lang w:val="fr-FR"/>
        </w:rPr>
        <w:t xml:space="preserve">consoles VDI avec anti-soulèvement, </w:t>
      </w:r>
      <w:r w:rsidR="00B725A1" w:rsidRPr="00694C51">
        <w:rPr>
          <w:rFonts w:ascii="Verdana" w:hAnsi="Verdana"/>
          <w:sz w:val="16"/>
          <w:szCs w:val="16"/>
          <w:lang w:val="fr-FR"/>
        </w:rPr>
        <w:t>vis, chevilles et instructions de montage</w:t>
      </w:r>
    </w:p>
    <w:p w14:paraId="21C1D06B"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Raccordements:</w:t>
      </w:r>
      <w:r w:rsidRPr="00261412">
        <w:rPr>
          <w:rFonts w:ascii="Verdana" w:hAnsi="Verdana"/>
          <w:sz w:val="16"/>
          <w:szCs w:val="16"/>
          <w:lang w:val="fr-FR"/>
        </w:rPr>
        <w:tab/>
        <w:t>2 raccords Eurocône ¾” à filetage extérieur au centre, 2 raccords ½” à filetage intérieur</w:t>
      </w:r>
    </w:p>
    <w:p w14:paraId="23655617" w14:textId="564418B6"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Étriers:</w:t>
      </w:r>
      <w:r w:rsidRPr="00261412">
        <w:rPr>
          <w:rFonts w:ascii="Verdana" w:hAnsi="Verdana"/>
          <w:sz w:val="16"/>
          <w:szCs w:val="16"/>
          <w:lang w:val="fr-FR"/>
        </w:rPr>
        <w:tab/>
        <w:t>2 paires d’étriers</w:t>
      </w:r>
    </w:p>
    <w:p w14:paraId="01A47332" w14:textId="77777777" w:rsidR="00261412" w:rsidRPr="00261412" w:rsidRDefault="00261412" w:rsidP="00F3606C">
      <w:pPr>
        <w:tabs>
          <w:tab w:val="left" w:pos="2410"/>
        </w:tabs>
        <w:suppressAutoHyphens/>
        <w:ind w:left="2410" w:hanging="2410"/>
        <w:rPr>
          <w:rFonts w:ascii="Verdana" w:hAnsi="Verdana"/>
          <w:sz w:val="16"/>
          <w:szCs w:val="16"/>
          <w:lang w:val="fr-FR"/>
        </w:rPr>
      </w:pPr>
      <w:r w:rsidRPr="00261412">
        <w:rPr>
          <w:rFonts w:ascii="Verdana" w:hAnsi="Verdana"/>
          <w:sz w:val="16"/>
          <w:szCs w:val="16"/>
          <w:lang w:val="fr-FR"/>
        </w:rPr>
        <w:t>Emballage:</w:t>
      </w:r>
      <w:r w:rsidRPr="00261412">
        <w:rPr>
          <w:rFonts w:ascii="Verdana" w:hAnsi="Verdana"/>
          <w:sz w:val="16"/>
          <w:szCs w:val="16"/>
          <w:lang w:val="fr-FR"/>
        </w:rPr>
        <w:tab/>
        <w:t>Chaque radiateur est solidement emballé dans du carton de qualité et plastifié. Une étiquette décrit les caractéristiques du radiateur: type – hauteur – longueur.</w:t>
      </w:r>
    </w:p>
    <w:p w14:paraId="1CE3F98B" w14:textId="3A8393C7" w:rsidR="00261412" w:rsidRPr="00261412" w:rsidRDefault="00261412" w:rsidP="00F3606C">
      <w:pPr>
        <w:tabs>
          <w:tab w:val="left" w:pos="2410"/>
        </w:tabs>
        <w:suppressAutoHyphens/>
        <w:ind w:left="2410" w:hanging="2410"/>
        <w:rPr>
          <w:rFonts w:ascii="Verdana" w:hAnsi="Verdana"/>
          <w:sz w:val="16"/>
          <w:szCs w:val="16"/>
          <w:lang w:val="fr-FR"/>
        </w:rPr>
      </w:pPr>
      <w:r w:rsidRPr="00261412">
        <w:rPr>
          <w:rFonts w:ascii="Verdana" w:hAnsi="Verdana"/>
          <w:sz w:val="16"/>
          <w:szCs w:val="16"/>
          <w:lang w:val="fr-FR"/>
        </w:rPr>
        <w:t>Garantie:</w:t>
      </w:r>
      <w:r w:rsidRPr="00261412">
        <w:rPr>
          <w:rFonts w:ascii="Verdana" w:hAnsi="Verdana"/>
          <w:sz w:val="16"/>
          <w:szCs w:val="16"/>
          <w:lang w:val="fr-FR"/>
        </w:rPr>
        <w:tab/>
      </w:r>
      <w:r w:rsidR="00EA1D7C" w:rsidRPr="00EA1D7C">
        <w:rPr>
          <w:rFonts w:ascii="Verdana" w:hAnsi="Verdana"/>
          <w:sz w:val="16"/>
          <w:szCs w:val="16"/>
          <w:lang w:val="fr-FR"/>
        </w:rPr>
        <w:t>Les droits légaux de l’acheteur en matière de conformité restent intégralement applicables conformément au droit national applicable. En outre, Henrad accorde une garantie commerciale de 10 ans conformément aux conditions de garantie applicables de Henrad. Les conditions de garantie en vigueur sont disponibles à l’adresse suivante : www.henrad.eu/be-fr/conditions-de-garantie.</w:t>
      </w:r>
    </w:p>
    <w:p w14:paraId="70E8FBB2" w14:textId="77777777" w:rsidR="00261412" w:rsidRPr="00261412" w:rsidRDefault="00261412" w:rsidP="00F3606C">
      <w:pPr>
        <w:tabs>
          <w:tab w:val="left" w:pos="2410"/>
        </w:tabs>
        <w:suppressAutoHyphens/>
        <w:ind w:left="2410" w:hanging="2410"/>
        <w:rPr>
          <w:rFonts w:ascii="Verdana" w:hAnsi="Verdana"/>
          <w:sz w:val="16"/>
          <w:szCs w:val="16"/>
          <w:lang w:val="fr-FR"/>
        </w:rPr>
      </w:pPr>
      <w:r w:rsidRPr="00261412">
        <w:rPr>
          <w:rFonts w:ascii="Verdana" w:hAnsi="Verdana"/>
          <w:sz w:val="16"/>
          <w:szCs w:val="16"/>
          <w:lang w:val="fr-FR"/>
        </w:rPr>
        <w:t>Procédé de laquage:</w:t>
      </w:r>
      <w:r w:rsidRPr="00261412">
        <w:rPr>
          <w:rFonts w:ascii="Verdana" w:hAnsi="Verdana"/>
          <w:sz w:val="16"/>
          <w:szCs w:val="16"/>
          <w:lang w:val="fr-FR"/>
        </w:rPr>
        <w:tab/>
        <w:t>Précédé d’un traitement de galvanisation supplémentaire, tous les radiateurs sont dégraissés, phosphatés, enduits d’une couche de protection primaire par cataphorèse et d’un poudrage électrostatique dans la couleur blanc Henrad 9016.</w:t>
      </w:r>
    </w:p>
    <w:p w14:paraId="350CDBD4"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Couleurs:</w:t>
      </w:r>
      <w:r w:rsidRPr="00261412">
        <w:rPr>
          <w:rFonts w:ascii="Verdana" w:hAnsi="Verdana"/>
          <w:sz w:val="16"/>
          <w:szCs w:val="16"/>
          <w:lang w:val="fr-FR"/>
        </w:rPr>
        <w:tab/>
        <w:t>blanc Henrad 9016 + 35 autres couleurs de Henrad ou 200 couleurs RAL</w:t>
      </w:r>
    </w:p>
    <w:p w14:paraId="495A357F" w14:textId="11C76754" w:rsidR="00261412" w:rsidRPr="00261412" w:rsidRDefault="00261412" w:rsidP="00F3606C">
      <w:pPr>
        <w:tabs>
          <w:tab w:val="left" w:pos="2410"/>
        </w:tabs>
        <w:suppressAutoHyphens/>
        <w:ind w:left="2410" w:hanging="2410"/>
        <w:rPr>
          <w:rFonts w:ascii="Verdana" w:hAnsi="Verdana"/>
          <w:sz w:val="16"/>
          <w:szCs w:val="16"/>
          <w:lang w:val="fr-FR"/>
        </w:rPr>
      </w:pPr>
      <w:r w:rsidRPr="00261412">
        <w:rPr>
          <w:rFonts w:ascii="Verdana" w:hAnsi="Verdana"/>
          <w:sz w:val="16"/>
          <w:szCs w:val="16"/>
          <w:lang w:val="fr-FR"/>
        </w:rPr>
        <w:t>Compteur de chaleur:</w:t>
      </w:r>
      <w:r w:rsidRPr="00261412">
        <w:rPr>
          <w:rFonts w:ascii="Verdana" w:hAnsi="Verdana"/>
          <w:sz w:val="16"/>
          <w:szCs w:val="16"/>
          <w:lang w:val="fr-FR"/>
        </w:rPr>
        <w:tab/>
        <w:t xml:space="preserve">Approprié aux compteurs de chaleur, électriques ou selon le principe d’évaporation (conforme EN834 &amp; </w:t>
      </w:r>
      <w:r w:rsidR="00EA1D7C">
        <w:rPr>
          <w:rFonts w:ascii="Verdana" w:hAnsi="Verdana"/>
          <w:sz w:val="16"/>
          <w:szCs w:val="16"/>
          <w:lang w:val="fr-FR"/>
        </w:rPr>
        <w:t>EN</w:t>
      </w:r>
      <w:r w:rsidRPr="00261412">
        <w:rPr>
          <w:rFonts w:ascii="Verdana" w:hAnsi="Verdana"/>
          <w:sz w:val="16"/>
          <w:szCs w:val="16"/>
          <w:lang w:val="fr-FR"/>
        </w:rPr>
        <w:t>835).</w:t>
      </w:r>
    </w:p>
    <w:p w14:paraId="24C32F0B"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Pression de service max.:</w:t>
      </w:r>
      <w:r w:rsidRPr="00261412">
        <w:rPr>
          <w:rFonts w:ascii="Verdana" w:hAnsi="Verdana"/>
          <w:sz w:val="16"/>
          <w:szCs w:val="16"/>
          <w:lang w:val="fr-FR"/>
        </w:rPr>
        <w:tab/>
        <w:t>10 bar (testé à 13 bar)</w:t>
      </w:r>
    </w:p>
    <w:p w14:paraId="6EF06DAB"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Température max.:</w:t>
      </w:r>
      <w:r w:rsidRPr="00261412">
        <w:rPr>
          <w:rFonts w:ascii="Verdana" w:hAnsi="Verdana"/>
          <w:sz w:val="16"/>
          <w:szCs w:val="16"/>
          <w:lang w:val="fr-FR"/>
        </w:rPr>
        <w:tab/>
        <w:t>110 °C</w:t>
      </w:r>
    </w:p>
    <w:p w14:paraId="18AC2D90"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Conformité:</w:t>
      </w:r>
      <w:r w:rsidRPr="00261412">
        <w:rPr>
          <w:rFonts w:ascii="Verdana" w:hAnsi="Verdana"/>
          <w:sz w:val="16"/>
          <w:szCs w:val="16"/>
          <w:lang w:val="fr-FR"/>
        </w:rPr>
        <w:tab/>
        <w:t>selon EN442</w:t>
      </w:r>
    </w:p>
    <w:p w14:paraId="205CAB48" w14:textId="77777777"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Types:</w:t>
      </w:r>
      <w:r w:rsidRPr="00261412">
        <w:rPr>
          <w:rFonts w:ascii="Verdana" w:hAnsi="Verdana"/>
          <w:sz w:val="16"/>
          <w:szCs w:val="16"/>
          <w:lang w:val="fr-FR"/>
        </w:rPr>
        <w:tab/>
        <w:t>10 | 20 | 30</w:t>
      </w:r>
    </w:p>
    <w:p w14:paraId="1E23A4F4" w14:textId="0D74D483"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Hauteurs:</w:t>
      </w:r>
      <w:r w:rsidRPr="00261412">
        <w:rPr>
          <w:rFonts w:ascii="Verdana" w:hAnsi="Verdana"/>
          <w:sz w:val="16"/>
          <w:szCs w:val="16"/>
          <w:lang w:val="fr-FR"/>
        </w:rPr>
        <w:tab/>
        <w:t>400 | 500 | 600 | 700 | 900 mm</w:t>
      </w:r>
    </w:p>
    <w:p w14:paraId="587BD62B" w14:textId="3C41A811" w:rsidR="00261412"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Longueurs:</w:t>
      </w:r>
      <w:r w:rsidRPr="00261412">
        <w:rPr>
          <w:rFonts w:ascii="Verdana" w:hAnsi="Verdana"/>
          <w:sz w:val="16"/>
          <w:szCs w:val="16"/>
          <w:lang w:val="fr-FR"/>
        </w:rPr>
        <w:tab/>
      </w:r>
      <w:r w:rsidR="00AC649D">
        <w:rPr>
          <w:rFonts w:ascii="Verdana" w:hAnsi="Verdana"/>
          <w:sz w:val="16"/>
          <w:szCs w:val="16"/>
          <w:lang w:val="fr-FR"/>
        </w:rPr>
        <w:t>4</w:t>
      </w:r>
      <w:r w:rsidRPr="00261412">
        <w:rPr>
          <w:rFonts w:ascii="Verdana" w:hAnsi="Verdana"/>
          <w:sz w:val="16"/>
          <w:szCs w:val="16"/>
          <w:lang w:val="fr-FR"/>
        </w:rPr>
        <w:t xml:space="preserve">00 – </w:t>
      </w:r>
      <w:r w:rsidR="001F4ABA">
        <w:rPr>
          <w:rFonts w:ascii="Verdana" w:hAnsi="Verdana"/>
          <w:sz w:val="16"/>
          <w:szCs w:val="16"/>
          <w:lang w:val="fr-FR"/>
        </w:rPr>
        <w:t>1.600</w:t>
      </w:r>
      <w:r w:rsidRPr="00261412">
        <w:rPr>
          <w:rFonts w:ascii="Verdana" w:hAnsi="Verdana"/>
          <w:sz w:val="16"/>
          <w:szCs w:val="16"/>
          <w:lang w:val="fr-FR"/>
        </w:rPr>
        <w:t xml:space="preserve"> mm</w:t>
      </w:r>
    </w:p>
    <w:p w14:paraId="21D40BEF" w14:textId="77777777" w:rsidR="001D5220" w:rsidRPr="00261412" w:rsidRDefault="00261412" w:rsidP="00261412">
      <w:pPr>
        <w:tabs>
          <w:tab w:val="left" w:pos="2410"/>
        </w:tabs>
        <w:suppressAutoHyphens/>
        <w:rPr>
          <w:rFonts w:ascii="Verdana" w:hAnsi="Verdana"/>
          <w:sz w:val="16"/>
          <w:szCs w:val="16"/>
          <w:lang w:val="fr-FR"/>
        </w:rPr>
      </w:pPr>
      <w:r w:rsidRPr="00261412">
        <w:rPr>
          <w:rFonts w:ascii="Verdana" w:hAnsi="Verdana"/>
          <w:sz w:val="16"/>
          <w:szCs w:val="16"/>
          <w:lang w:val="fr-FR"/>
        </w:rPr>
        <w:t>Profondeurs:</w:t>
      </w:r>
      <w:r w:rsidRPr="00261412">
        <w:rPr>
          <w:rFonts w:ascii="Verdana" w:hAnsi="Verdana"/>
          <w:sz w:val="16"/>
          <w:szCs w:val="16"/>
          <w:lang w:val="fr-FR"/>
        </w:rPr>
        <w:tab/>
        <w:t>47 | 77 | 158 mm</w:t>
      </w:r>
    </w:p>
    <w:sectPr w:rsidR="001D5220" w:rsidRPr="00261412" w:rsidSect="00156040">
      <w:pgSz w:w="11906" w:h="16838"/>
      <w:pgMar w:top="993"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36921"/>
    <w:rsid w:val="00041B7A"/>
    <w:rsid w:val="00077E6D"/>
    <w:rsid w:val="0009056C"/>
    <w:rsid w:val="000A6419"/>
    <w:rsid w:val="000C7738"/>
    <w:rsid w:val="000D018D"/>
    <w:rsid w:val="000F5BFD"/>
    <w:rsid w:val="0010514E"/>
    <w:rsid w:val="00106605"/>
    <w:rsid w:val="00146C1B"/>
    <w:rsid w:val="00156040"/>
    <w:rsid w:val="00172FD5"/>
    <w:rsid w:val="00185DC3"/>
    <w:rsid w:val="001A7D73"/>
    <w:rsid w:val="001D5220"/>
    <w:rsid w:val="001F4ABA"/>
    <w:rsid w:val="00224089"/>
    <w:rsid w:val="00224C20"/>
    <w:rsid w:val="00261412"/>
    <w:rsid w:val="00265604"/>
    <w:rsid w:val="00277A1F"/>
    <w:rsid w:val="002A0E7D"/>
    <w:rsid w:val="002B40BD"/>
    <w:rsid w:val="002B4C85"/>
    <w:rsid w:val="00306833"/>
    <w:rsid w:val="0032244A"/>
    <w:rsid w:val="003C2724"/>
    <w:rsid w:val="003C6AA1"/>
    <w:rsid w:val="003D69BF"/>
    <w:rsid w:val="00402132"/>
    <w:rsid w:val="00422C03"/>
    <w:rsid w:val="00432047"/>
    <w:rsid w:val="00465824"/>
    <w:rsid w:val="00473FF4"/>
    <w:rsid w:val="00500A84"/>
    <w:rsid w:val="00554692"/>
    <w:rsid w:val="00555A0F"/>
    <w:rsid w:val="005C7E63"/>
    <w:rsid w:val="005E2C5D"/>
    <w:rsid w:val="00622508"/>
    <w:rsid w:val="006412F7"/>
    <w:rsid w:val="00642F1D"/>
    <w:rsid w:val="00657B4E"/>
    <w:rsid w:val="00663010"/>
    <w:rsid w:val="00674502"/>
    <w:rsid w:val="006A1A7A"/>
    <w:rsid w:val="006A28E5"/>
    <w:rsid w:val="006B1293"/>
    <w:rsid w:val="006E20B7"/>
    <w:rsid w:val="006F05C2"/>
    <w:rsid w:val="00716EF9"/>
    <w:rsid w:val="00723F5E"/>
    <w:rsid w:val="0074554A"/>
    <w:rsid w:val="00773D01"/>
    <w:rsid w:val="007A5FBF"/>
    <w:rsid w:val="007B2136"/>
    <w:rsid w:val="00896594"/>
    <w:rsid w:val="008F7C18"/>
    <w:rsid w:val="009513AF"/>
    <w:rsid w:val="009657A6"/>
    <w:rsid w:val="00977DF0"/>
    <w:rsid w:val="00984C1B"/>
    <w:rsid w:val="009867C1"/>
    <w:rsid w:val="00995CB9"/>
    <w:rsid w:val="009A3AF6"/>
    <w:rsid w:val="009B60BF"/>
    <w:rsid w:val="00A67F27"/>
    <w:rsid w:val="00AC649D"/>
    <w:rsid w:val="00AE2438"/>
    <w:rsid w:val="00B2091D"/>
    <w:rsid w:val="00B725A1"/>
    <w:rsid w:val="00B9027A"/>
    <w:rsid w:val="00BE451E"/>
    <w:rsid w:val="00BF11ED"/>
    <w:rsid w:val="00C04840"/>
    <w:rsid w:val="00C1275C"/>
    <w:rsid w:val="00C243C1"/>
    <w:rsid w:val="00C3611C"/>
    <w:rsid w:val="00C73932"/>
    <w:rsid w:val="00C80308"/>
    <w:rsid w:val="00CB20D3"/>
    <w:rsid w:val="00CC70AA"/>
    <w:rsid w:val="00D05C71"/>
    <w:rsid w:val="00D5787C"/>
    <w:rsid w:val="00D67064"/>
    <w:rsid w:val="00DE4992"/>
    <w:rsid w:val="00DE7451"/>
    <w:rsid w:val="00DF5FEF"/>
    <w:rsid w:val="00E028A0"/>
    <w:rsid w:val="00E37448"/>
    <w:rsid w:val="00E565B0"/>
    <w:rsid w:val="00E643A2"/>
    <w:rsid w:val="00E76EFA"/>
    <w:rsid w:val="00EA1D7C"/>
    <w:rsid w:val="00F3606C"/>
    <w:rsid w:val="00F6663B"/>
    <w:rsid w:val="00F71A77"/>
    <w:rsid w:val="00FB2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BEEB"/>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6989D-8F24-4559-8C44-3776058B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2701</Characters>
  <Application>Microsoft Office Word</Application>
  <DocSecurity>0</DocSecurity>
  <Lines>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10</cp:revision>
  <dcterms:created xsi:type="dcterms:W3CDTF">2018-06-29T11:29:00Z</dcterms:created>
  <dcterms:modified xsi:type="dcterms:W3CDTF">2026-07-17T07:50:00Z</dcterms:modified>
</cp:coreProperties>
</file>