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1E5CD" w14:textId="77777777" w:rsidR="00156040" w:rsidRPr="0033732B" w:rsidRDefault="00704AE8" w:rsidP="00156040">
      <w:pPr>
        <w:tabs>
          <w:tab w:val="left" w:pos="2410"/>
        </w:tabs>
        <w:suppressAutoHyphens/>
        <w:rPr>
          <w:rFonts w:ascii="Verdana" w:hAnsi="Verdana"/>
          <w:color w:val="EC008C"/>
          <w:sz w:val="48"/>
          <w:szCs w:val="48"/>
          <w:lang w:val="fr-FR"/>
        </w:rPr>
      </w:pPr>
      <w:r w:rsidRPr="0033732B">
        <w:rPr>
          <w:rFonts w:ascii="Verdana" w:hAnsi="Verdana"/>
          <w:color w:val="EC008C"/>
          <w:sz w:val="48"/>
          <w:szCs w:val="48"/>
          <w:lang w:val="fr-FR"/>
        </w:rPr>
        <w:t xml:space="preserve">OCEANUS </w:t>
      </w:r>
      <w:r w:rsidR="0033732B" w:rsidRPr="0033732B">
        <w:rPr>
          <w:rFonts w:ascii="Verdana" w:hAnsi="Verdana"/>
          <w:color w:val="EC008C"/>
          <w:sz w:val="48"/>
          <w:szCs w:val="48"/>
          <w:lang w:val="fr-FR"/>
        </w:rPr>
        <w:t>– OCEANUS CT</w:t>
      </w:r>
    </w:p>
    <w:p w14:paraId="4089BE38" w14:textId="77777777" w:rsidR="0033732B" w:rsidRPr="0033732B" w:rsidRDefault="0033732B" w:rsidP="0033732B">
      <w:pPr>
        <w:tabs>
          <w:tab w:val="left" w:pos="2410"/>
        </w:tabs>
        <w:suppressAutoHyphens/>
        <w:rPr>
          <w:rFonts w:ascii="Verdana" w:hAnsi="Verdana"/>
          <w:sz w:val="20"/>
          <w:szCs w:val="20"/>
          <w:lang w:val="fr-FR"/>
        </w:rPr>
      </w:pPr>
      <w:r w:rsidRPr="0033732B">
        <w:rPr>
          <w:rFonts w:ascii="Verdana" w:hAnsi="Verdana"/>
          <w:sz w:val="20"/>
          <w:szCs w:val="20"/>
          <w:lang w:val="fr-FR"/>
        </w:rPr>
        <w:t>L’Oceanus est un radiateur de salle de bain classique à tubes droits et ronds qui conserve le caractère traditionnel et intemporel de votre salle de bain. L’Oceanus peut être équipé d’un raccordement central et peut également être utilisé comme élément de séparation, aidant ainsi à structurer l’espace en fonction de vos besoins.</w:t>
      </w:r>
    </w:p>
    <w:p w14:paraId="7F532E86" w14:textId="77777777" w:rsidR="0033732B" w:rsidRDefault="0033732B" w:rsidP="0033732B">
      <w:pPr>
        <w:tabs>
          <w:tab w:val="left" w:pos="2410"/>
        </w:tabs>
        <w:suppressAutoHyphens/>
        <w:rPr>
          <w:rFonts w:ascii="Verdana" w:hAnsi="Verdana"/>
          <w:sz w:val="16"/>
          <w:szCs w:val="16"/>
          <w:lang w:val="fr-FR"/>
        </w:rPr>
      </w:pPr>
    </w:p>
    <w:p w14:paraId="352CD61F" w14:textId="77777777" w:rsidR="0033732B" w:rsidRPr="0033732B" w:rsidRDefault="0033732B" w:rsidP="0033732B">
      <w:pPr>
        <w:tabs>
          <w:tab w:val="left" w:pos="2410"/>
        </w:tabs>
        <w:suppressAutoHyphens/>
        <w:rPr>
          <w:rFonts w:ascii="Verdana" w:hAnsi="Verdana"/>
          <w:sz w:val="16"/>
          <w:szCs w:val="16"/>
          <w:lang w:val="fr-FR"/>
        </w:rPr>
      </w:pPr>
      <w:r w:rsidRPr="0033732B">
        <w:rPr>
          <w:rFonts w:ascii="Verdana" w:hAnsi="Verdana"/>
          <w:sz w:val="16"/>
          <w:szCs w:val="16"/>
          <w:lang w:val="fr-FR"/>
        </w:rPr>
        <w:t>Produit:</w:t>
      </w:r>
      <w:r w:rsidRPr="0033732B">
        <w:rPr>
          <w:rFonts w:ascii="Verdana" w:hAnsi="Verdana"/>
          <w:sz w:val="16"/>
          <w:szCs w:val="16"/>
          <w:lang w:val="fr-FR"/>
        </w:rPr>
        <w:tab/>
        <w:t>le radiateur salle de bain classique, également disponible avec raccordement central</w:t>
      </w:r>
    </w:p>
    <w:p w14:paraId="141F3E74" w14:textId="4666FCBA" w:rsidR="0033732B" w:rsidRPr="0033732B" w:rsidRDefault="0033732B" w:rsidP="0033732B">
      <w:pPr>
        <w:tabs>
          <w:tab w:val="left" w:pos="2410"/>
        </w:tabs>
        <w:suppressAutoHyphens/>
        <w:rPr>
          <w:rFonts w:ascii="Verdana" w:hAnsi="Verdana"/>
          <w:sz w:val="16"/>
          <w:szCs w:val="16"/>
          <w:lang w:val="fr-FR"/>
        </w:rPr>
      </w:pPr>
      <w:r w:rsidRPr="0033732B">
        <w:rPr>
          <w:rFonts w:ascii="Verdana" w:hAnsi="Verdana"/>
          <w:sz w:val="16"/>
          <w:szCs w:val="16"/>
          <w:lang w:val="fr-FR"/>
        </w:rPr>
        <w:t>Fourni avec:</w:t>
      </w:r>
      <w:r w:rsidRPr="0033732B">
        <w:rPr>
          <w:rFonts w:ascii="Verdana" w:hAnsi="Verdana"/>
          <w:sz w:val="16"/>
          <w:szCs w:val="16"/>
          <w:lang w:val="fr-FR"/>
        </w:rPr>
        <w:tab/>
        <w:t>consoles, vis</w:t>
      </w:r>
      <w:r w:rsidR="00827E3A">
        <w:rPr>
          <w:rFonts w:ascii="Verdana" w:hAnsi="Verdana"/>
          <w:sz w:val="16"/>
          <w:szCs w:val="16"/>
          <w:lang w:val="fr-FR"/>
        </w:rPr>
        <w:t>,</w:t>
      </w:r>
      <w:r w:rsidRPr="0033732B">
        <w:rPr>
          <w:rFonts w:ascii="Verdana" w:hAnsi="Verdana"/>
          <w:sz w:val="16"/>
          <w:szCs w:val="16"/>
          <w:lang w:val="fr-FR"/>
        </w:rPr>
        <w:t xml:space="preserve"> chevilles, bouchon purgeur, bouchons pleins et instructions de montage</w:t>
      </w:r>
    </w:p>
    <w:p w14:paraId="0DAB9DCB" w14:textId="77777777" w:rsidR="0033732B" w:rsidRPr="0033732B" w:rsidRDefault="0033732B" w:rsidP="0033732B">
      <w:pPr>
        <w:tabs>
          <w:tab w:val="left" w:pos="2410"/>
        </w:tabs>
        <w:suppressAutoHyphens/>
        <w:rPr>
          <w:rFonts w:ascii="Verdana" w:hAnsi="Verdana"/>
          <w:sz w:val="16"/>
          <w:szCs w:val="16"/>
          <w:lang w:val="fr-FR"/>
        </w:rPr>
      </w:pPr>
      <w:r w:rsidRPr="0033732B">
        <w:rPr>
          <w:rFonts w:ascii="Verdana" w:hAnsi="Verdana"/>
          <w:sz w:val="16"/>
          <w:szCs w:val="16"/>
          <w:lang w:val="fr-FR"/>
        </w:rPr>
        <w:t>Raccordements:</w:t>
      </w:r>
      <w:r w:rsidRPr="0033732B">
        <w:rPr>
          <w:rFonts w:ascii="Verdana" w:hAnsi="Verdana"/>
          <w:sz w:val="16"/>
          <w:szCs w:val="16"/>
          <w:lang w:val="fr-FR"/>
        </w:rPr>
        <w:tab/>
        <w:t>4 x ½” à filetage intérieur (6 x ½” à filetage intérieur si avec raccordement central)</w:t>
      </w:r>
    </w:p>
    <w:p w14:paraId="0BD12A53" w14:textId="77777777" w:rsidR="0033732B" w:rsidRPr="0033732B" w:rsidRDefault="0033732B" w:rsidP="003365F4">
      <w:pPr>
        <w:tabs>
          <w:tab w:val="left" w:pos="2410"/>
        </w:tabs>
        <w:suppressAutoHyphens/>
        <w:ind w:left="2410" w:hanging="2410"/>
        <w:rPr>
          <w:rFonts w:ascii="Verdana" w:hAnsi="Verdana"/>
          <w:sz w:val="16"/>
          <w:szCs w:val="16"/>
          <w:lang w:val="fr-FR"/>
        </w:rPr>
      </w:pPr>
      <w:r w:rsidRPr="0033732B">
        <w:rPr>
          <w:rFonts w:ascii="Verdana" w:hAnsi="Verdana"/>
          <w:sz w:val="16"/>
          <w:szCs w:val="16"/>
          <w:lang w:val="fr-FR"/>
        </w:rPr>
        <w:t>Emballage:</w:t>
      </w:r>
      <w:r w:rsidRPr="0033732B">
        <w:rPr>
          <w:rFonts w:ascii="Verdana" w:hAnsi="Verdana"/>
          <w:sz w:val="16"/>
          <w:szCs w:val="16"/>
          <w:lang w:val="fr-FR"/>
        </w:rPr>
        <w:tab/>
        <w:t>Chaque radiateur est solidement emballé dans du carton de qualité et plastifié. Une étiquette décrit les caractéristiques du radiateur: type – hauteur – longueur.</w:t>
      </w:r>
    </w:p>
    <w:p w14:paraId="725160C1" w14:textId="40F5EBA8" w:rsidR="0033732B" w:rsidRPr="0033732B" w:rsidRDefault="0033732B" w:rsidP="003365F4">
      <w:pPr>
        <w:tabs>
          <w:tab w:val="left" w:pos="2410"/>
        </w:tabs>
        <w:suppressAutoHyphens/>
        <w:ind w:left="2410" w:hanging="2410"/>
        <w:rPr>
          <w:rFonts w:ascii="Verdana" w:hAnsi="Verdana"/>
          <w:sz w:val="16"/>
          <w:szCs w:val="16"/>
          <w:lang w:val="fr-FR"/>
        </w:rPr>
      </w:pPr>
      <w:r w:rsidRPr="0033732B">
        <w:rPr>
          <w:rFonts w:ascii="Verdana" w:hAnsi="Verdana"/>
          <w:sz w:val="16"/>
          <w:szCs w:val="16"/>
          <w:lang w:val="fr-FR"/>
        </w:rPr>
        <w:t>Garantie:</w:t>
      </w:r>
      <w:r w:rsidRPr="0033732B">
        <w:rPr>
          <w:rFonts w:ascii="Verdana" w:hAnsi="Verdana"/>
          <w:sz w:val="16"/>
          <w:szCs w:val="16"/>
          <w:lang w:val="fr-FR"/>
        </w:rPr>
        <w:tab/>
      </w:r>
      <w:r w:rsidR="00501682">
        <w:rPr>
          <w:rFonts w:ascii="Verdana" w:hAnsi="Verdana"/>
          <w:sz w:val="16"/>
          <w:szCs w:val="16"/>
          <w:lang w:val="fr-FR"/>
        </w:rPr>
        <w:t>10</w:t>
      </w:r>
      <w:r w:rsidRPr="0033732B">
        <w:rPr>
          <w:rFonts w:ascii="Verdana" w:hAnsi="Verdana"/>
          <w:sz w:val="16"/>
          <w:szCs w:val="16"/>
          <w:lang w:val="fr-FR"/>
        </w:rPr>
        <w:t xml:space="preserve"> ans sous réserve de respecter les prescriptions concernant les conditions d’installation ainsi que les conditions de garantie de Henrad, et à condition que le radiateur soi à l’abri des projections d’eau directes</w:t>
      </w:r>
    </w:p>
    <w:p w14:paraId="36F9CB91" w14:textId="77777777" w:rsidR="0033732B" w:rsidRPr="0033732B" w:rsidRDefault="0033732B" w:rsidP="003365F4">
      <w:pPr>
        <w:tabs>
          <w:tab w:val="left" w:pos="2410"/>
        </w:tabs>
        <w:suppressAutoHyphens/>
        <w:ind w:left="2410" w:hanging="2410"/>
        <w:rPr>
          <w:rFonts w:ascii="Verdana" w:hAnsi="Verdana"/>
          <w:sz w:val="16"/>
          <w:szCs w:val="16"/>
          <w:lang w:val="fr-FR"/>
        </w:rPr>
      </w:pPr>
      <w:r w:rsidRPr="0033732B">
        <w:rPr>
          <w:rFonts w:ascii="Verdana" w:hAnsi="Verdana"/>
          <w:sz w:val="16"/>
          <w:szCs w:val="16"/>
          <w:lang w:val="fr-FR"/>
        </w:rPr>
        <w:t>Procédé de laquage:</w:t>
      </w:r>
      <w:r w:rsidRPr="0033732B">
        <w:rPr>
          <w:rFonts w:ascii="Verdana" w:hAnsi="Verdana"/>
          <w:sz w:val="16"/>
          <w:szCs w:val="16"/>
          <w:lang w:val="fr-FR"/>
        </w:rPr>
        <w:tab/>
        <w:t>Tous les radiateurs sont dégraissés, phosphatés, enduits d’un poudrage électrostatique dans la couleur blanc Henrad 9016.</w:t>
      </w:r>
    </w:p>
    <w:p w14:paraId="28035278" w14:textId="77777777" w:rsidR="0033732B" w:rsidRPr="0033732B" w:rsidRDefault="0033732B" w:rsidP="0033732B">
      <w:pPr>
        <w:tabs>
          <w:tab w:val="left" w:pos="2410"/>
        </w:tabs>
        <w:suppressAutoHyphens/>
        <w:rPr>
          <w:rFonts w:ascii="Verdana" w:hAnsi="Verdana"/>
          <w:sz w:val="16"/>
          <w:szCs w:val="16"/>
          <w:lang w:val="fr-FR"/>
        </w:rPr>
      </w:pPr>
      <w:r w:rsidRPr="0033732B">
        <w:rPr>
          <w:rFonts w:ascii="Verdana" w:hAnsi="Verdana"/>
          <w:sz w:val="16"/>
          <w:szCs w:val="16"/>
          <w:lang w:val="fr-FR"/>
        </w:rPr>
        <w:t>Couleurs:</w:t>
      </w:r>
      <w:r w:rsidRPr="0033732B">
        <w:rPr>
          <w:rFonts w:ascii="Verdana" w:hAnsi="Verdana"/>
          <w:sz w:val="16"/>
          <w:szCs w:val="16"/>
          <w:lang w:val="fr-FR"/>
        </w:rPr>
        <w:tab/>
        <w:t>blanc Henrad 9016 + 35 autres couleurs de Henrad ou 200 couleurs RAL</w:t>
      </w:r>
    </w:p>
    <w:p w14:paraId="227F8270" w14:textId="77777777" w:rsidR="0033732B" w:rsidRPr="0033732B" w:rsidRDefault="0033732B" w:rsidP="0033732B">
      <w:pPr>
        <w:tabs>
          <w:tab w:val="left" w:pos="2410"/>
        </w:tabs>
        <w:suppressAutoHyphens/>
        <w:rPr>
          <w:rFonts w:ascii="Verdana" w:hAnsi="Verdana"/>
          <w:sz w:val="16"/>
          <w:szCs w:val="16"/>
          <w:lang w:val="fr-FR"/>
        </w:rPr>
      </w:pPr>
      <w:r w:rsidRPr="0033732B">
        <w:rPr>
          <w:rFonts w:ascii="Verdana" w:hAnsi="Verdana"/>
          <w:sz w:val="16"/>
          <w:szCs w:val="16"/>
          <w:lang w:val="fr-FR"/>
        </w:rPr>
        <w:t>Pression de service max.:</w:t>
      </w:r>
      <w:r w:rsidRPr="0033732B">
        <w:rPr>
          <w:rFonts w:ascii="Verdana" w:hAnsi="Verdana"/>
          <w:sz w:val="16"/>
          <w:szCs w:val="16"/>
          <w:lang w:val="fr-FR"/>
        </w:rPr>
        <w:tab/>
        <w:t>10 bar (testé à 13 bar)</w:t>
      </w:r>
    </w:p>
    <w:p w14:paraId="10BBC90C" w14:textId="77777777" w:rsidR="0033732B" w:rsidRPr="0033732B" w:rsidRDefault="0033732B" w:rsidP="0033732B">
      <w:pPr>
        <w:tabs>
          <w:tab w:val="left" w:pos="2410"/>
        </w:tabs>
        <w:suppressAutoHyphens/>
        <w:rPr>
          <w:rFonts w:ascii="Verdana" w:hAnsi="Verdana"/>
          <w:sz w:val="16"/>
          <w:szCs w:val="16"/>
          <w:lang w:val="fr-FR"/>
        </w:rPr>
      </w:pPr>
      <w:r w:rsidRPr="0033732B">
        <w:rPr>
          <w:rFonts w:ascii="Verdana" w:hAnsi="Verdana"/>
          <w:sz w:val="16"/>
          <w:szCs w:val="16"/>
          <w:lang w:val="fr-FR"/>
        </w:rPr>
        <w:t>Température max.:</w:t>
      </w:r>
      <w:r w:rsidRPr="0033732B">
        <w:rPr>
          <w:rFonts w:ascii="Verdana" w:hAnsi="Verdana"/>
          <w:sz w:val="16"/>
          <w:szCs w:val="16"/>
          <w:lang w:val="fr-FR"/>
        </w:rPr>
        <w:tab/>
        <w:t>95 °C</w:t>
      </w:r>
    </w:p>
    <w:p w14:paraId="0F1C9A58" w14:textId="77777777" w:rsidR="0033732B" w:rsidRPr="0033732B" w:rsidRDefault="0033732B" w:rsidP="0033732B">
      <w:pPr>
        <w:tabs>
          <w:tab w:val="left" w:pos="2410"/>
        </w:tabs>
        <w:suppressAutoHyphens/>
        <w:rPr>
          <w:rFonts w:ascii="Verdana" w:hAnsi="Verdana"/>
          <w:sz w:val="16"/>
          <w:szCs w:val="16"/>
          <w:lang w:val="fr-FR"/>
        </w:rPr>
      </w:pPr>
      <w:r w:rsidRPr="0033732B">
        <w:rPr>
          <w:rFonts w:ascii="Verdana" w:hAnsi="Verdana"/>
          <w:sz w:val="16"/>
          <w:szCs w:val="16"/>
          <w:lang w:val="fr-FR"/>
        </w:rPr>
        <w:t>Conformité:</w:t>
      </w:r>
      <w:r w:rsidRPr="0033732B">
        <w:rPr>
          <w:rFonts w:ascii="Verdana" w:hAnsi="Verdana"/>
          <w:sz w:val="16"/>
          <w:szCs w:val="16"/>
          <w:lang w:val="fr-FR"/>
        </w:rPr>
        <w:tab/>
        <w:t>selon EN442</w:t>
      </w:r>
    </w:p>
    <w:p w14:paraId="5759D24C" w14:textId="77777777" w:rsidR="0033732B" w:rsidRPr="0033732B" w:rsidRDefault="0033732B" w:rsidP="0033732B">
      <w:pPr>
        <w:tabs>
          <w:tab w:val="left" w:pos="2410"/>
        </w:tabs>
        <w:suppressAutoHyphens/>
        <w:rPr>
          <w:rFonts w:ascii="Verdana" w:hAnsi="Verdana"/>
          <w:sz w:val="16"/>
          <w:szCs w:val="16"/>
          <w:lang w:val="fr-FR"/>
        </w:rPr>
      </w:pPr>
      <w:r w:rsidRPr="0033732B">
        <w:rPr>
          <w:rFonts w:ascii="Verdana" w:hAnsi="Verdana"/>
          <w:sz w:val="16"/>
          <w:szCs w:val="16"/>
          <w:lang w:val="fr-FR"/>
        </w:rPr>
        <w:t>Hauteurs:</w:t>
      </w:r>
      <w:r w:rsidRPr="0033732B">
        <w:rPr>
          <w:rFonts w:ascii="Verdana" w:hAnsi="Verdana"/>
          <w:sz w:val="16"/>
          <w:szCs w:val="16"/>
          <w:lang w:val="fr-FR"/>
        </w:rPr>
        <w:tab/>
        <w:t>775 | 1.181 | 1.411 | 1.763 | 1.993 mm</w:t>
      </w:r>
    </w:p>
    <w:p w14:paraId="2BE58D85" w14:textId="77777777" w:rsidR="0033732B" w:rsidRPr="0033732B" w:rsidRDefault="0033732B" w:rsidP="0033732B">
      <w:pPr>
        <w:tabs>
          <w:tab w:val="left" w:pos="2410"/>
        </w:tabs>
        <w:suppressAutoHyphens/>
        <w:rPr>
          <w:rFonts w:ascii="Verdana" w:hAnsi="Verdana"/>
          <w:sz w:val="16"/>
          <w:szCs w:val="16"/>
          <w:lang w:val="fr-FR"/>
        </w:rPr>
      </w:pPr>
      <w:r w:rsidRPr="0033732B">
        <w:rPr>
          <w:rFonts w:ascii="Verdana" w:hAnsi="Verdana"/>
          <w:sz w:val="16"/>
          <w:szCs w:val="16"/>
          <w:lang w:val="fr-FR"/>
        </w:rPr>
        <w:t xml:space="preserve">Nombre de tubes: </w:t>
      </w:r>
      <w:r w:rsidRPr="0033732B">
        <w:rPr>
          <w:rFonts w:ascii="Verdana" w:hAnsi="Verdana"/>
          <w:sz w:val="16"/>
          <w:szCs w:val="16"/>
          <w:lang w:val="fr-FR"/>
        </w:rPr>
        <w:tab/>
        <w:t>16 | 24 | 28 | 36 | 40</w:t>
      </w:r>
    </w:p>
    <w:p w14:paraId="2072EDFA" w14:textId="6D486983" w:rsidR="0033732B" w:rsidRPr="0033732B" w:rsidRDefault="0033732B" w:rsidP="0033732B">
      <w:pPr>
        <w:tabs>
          <w:tab w:val="left" w:pos="2410"/>
        </w:tabs>
        <w:suppressAutoHyphens/>
        <w:rPr>
          <w:rFonts w:ascii="Verdana" w:hAnsi="Verdana"/>
          <w:sz w:val="16"/>
          <w:szCs w:val="16"/>
          <w:lang w:val="fr-FR"/>
        </w:rPr>
      </w:pPr>
      <w:r w:rsidRPr="0033732B">
        <w:rPr>
          <w:rFonts w:ascii="Verdana" w:hAnsi="Verdana"/>
          <w:sz w:val="16"/>
          <w:szCs w:val="16"/>
          <w:lang w:val="fr-FR"/>
        </w:rPr>
        <w:t>Longueurs:</w:t>
      </w:r>
      <w:r w:rsidRPr="0033732B">
        <w:rPr>
          <w:rFonts w:ascii="Verdana" w:hAnsi="Verdana"/>
          <w:sz w:val="16"/>
          <w:szCs w:val="16"/>
          <w:lang w:val="fr-FR"/>
        </w:rPr>
        <w:tab/>
      </w:r>
      <w:r w:rsidR="00473DB5" w:rsidRPr="00473DB5">
        <w:rPr>
          <w:rFonts w:ascii="Verdana" w:hAnsi="Verdana"/>
          <w:sz w:val="16"/>
          <w:szCs w:val="16"/>
          <w:lang w:val="fr-FR"/>
        </w:rPr>
        <w:t>400 | 450 | 495 | 585 | 737 mm</w:t>
      </w:r>
    </w:p>
    <w:p w14:paraId="74204E4F" w14:textId="77777777" w:rsidR="0033732B" w:rsidRPr="0033732B" w:rsidRDefault="0033732B" w:rsidP="0033732B">
      <w:pPr>
        <w:tabs>
          <w:tab w:val="left" w:pos="2410"/>
        </w:tabs>
        <w:suppressAutoHyphens/>
        <w:rPr>
          <w:rFonts w:ascii="Verdana" w:hAnsi="Verdana"/>
          <w:sz w:val="16"/>
          <w:szCs w:val="16"/>
          <w:lang w:val="fr-FR"/>
        </w:rPr>
      </w:pPr>
      <w:r w:rsidRPr="0033732B">
        <w:rPr>
          <w:rFonts w:ascii="Verdana" w:hAnsi="Verdana"/>
          <w:sz w:val="16"/>
          <w:szCs w:val="16"/>
          <w:lang w:val="fr-FR"/>
        </w:rPr>
        <w:t>Tubes:</w:t>
      </w:r>
      <w:r w:rsidRPr="0033732B">
        <w:rPr>
          <w:rFonts w:ascii="Verdana" w:hAnsi="Verdana"/>
          <w:sz w:val="16"/>
          <w:szCs w:val="16"/>
          <w:lang w:val="fr-FR"/>
        </w:rPr>
        <w:tab/>
        <w:t>horizontaux, section en “O” et d’un diamètre de 22 mm</w:t>
      </w:r>
    </w:p>
    <w:p w14:paraId="16691946" w14:textId="45720A6A" w:rsidR="001D5220" w:rsidRPr="0033732B" w:rsidRDefault="0033732B" w:rsidP="0033732B">
      <w:pPr>
        <w:tabs>
          <w:tab w:val="left" w:pos="2410"/>
        </w:tabs>
        <w:suppressAutoHyphens/>
        <w:rPr>
          <w:rFonts w:ascii="Verdana" w:hAnsi="Verdana"/>
          <w:sz w:val="16"/>
          <w:szCs w:val="16"/>
          <w:lang w:val="fr-FR"/>
        </w:rPr>
      </w:pPr>
      <w:r w:rsidRPr="0033732B">
        <w:rPr>
          <w:rFonts w:ascii="Verdana" w:hAnsi="Verdana"/>
          <w:sz w:val="16"/>
          <w:szCs w:val="16"/>
          <w:lang w:val="fr-FR"/>
        </w:rPr>
        <w:t>Collecteurs:</w:t>
      </w:r>
      <w:r w:rsidRPr="0033732B">
        <w:rPr>
          <w:rFonts w:ascii="Verdana" w:hAnsi="Verdana"/>
          <w:sz w:val="16"/>
          <w:szCs w:val="16"/>
          <w:lang w:val="fr-FR"/>
        </w:rPr>
        <w:tab/>
        <w:t>verticaux et section en “D”</w:t>
      </w:r>
      <w:r w:rsidR="003E2278">
        <w:rPr>
          <w:rFonts w:ascii="Verdana" w:hAnsi="Verdana"/>
          <w:sz w:val="16"/>
          <w:szCs w:val="16"/>
          <w:lang w:val="fr-FR"/>
        </w:rPr>
        <w:t xml:space="preserve"> </w:t>
      </w:r>
    </w:p>
    <w:sectPr w:rsidR="001D5220" w:rsidRPr="0033732B"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36921"/>
    <w:rsid w:val="00041B7A"/>
    <w:rsid w:val="00057E13"/>
    <w:rsid w:val="000729A3"/>
    <w:rsid w:val="00077E6D"/>
    <w:rsid w:val="000A6419"/>
    <w:rsid w:val="000C7738"/>
    <w:rsid w:val="000D018D"/>
    <w:rsid w:val="0010514E"/>
    <w:rsid w:val="00106605"/>
    <w:rsid w:val="00142EB5"/>
    <w:rsid w:val="00146C1B"/>
    <w:rsid w:val="00156040"/>
    <w:rsid w:val="00185DC3"/>
    <w:rsid w:val="001A7D73"/>
    <w:rsid w:val="001D5220"/>
    <w:rsid w:val="00224089"/>
    <w:rsid w:val="00224C20"/>
    <w:rsid w:val="00261412"/>
    <w:rsid w:val="00265604"/>
    <w:rsid w:val="00277A1F"/>
    <w:rsid w:val="002B40BD"/>
    <w:rsid w:val="002B4C85"/>
    <w:rsid w:val="002B615B"/>
    <w:rsid w:val="002E4161"/>
    <w:rsid w:val="00306833"/>
    <w:rsid w:val="0032244A"/>
    <w:rsid w:val="00325B05"/>
    <w:rsid w:val="003365F4"/>
    <w:rsid w:val="0033732B"/>
    <w:rsid w:val="003C2724"/>
    <w:rsid w:val="003C6AA1"/>
    <w:rsid w:val="003D69BF"/>
    <w:rsid w:val="003E2278"/>
    <w:rsid w:val="003F576A"/>
    <w:rsid w:val="00402132"/>
    <w:rsid w:val="00422C03"/>
    <w:rsid w:val="00432047"/>
    <w:rsid w:val="00465824"/>
    <w:rsid w:val="00473DB5"/>
    <w:rsid w:val="00473FF4"/>
    <w:rsid w:val="00500A84"/>
    <w:rsid w:val="00501682"/>
    <w:rsid w:val="00554692"/>
    <w:rsid w:val="00555A0F"/>
    <w:rsid w:val="005C7E63"/>
    <w:rsid w:val="005E2C5D"/>
    <w:rsid w:val="00622508"/>
    <w:rsid w:val="006412F7"/>
    <w:rsid w:val="00642F1D"/>
    <w:rsid w:val="00657B4E"/>
    <w:rsid w:val="00663010"/>
    <w:rsid w:val="0066517B"/>
    <w:rsid w:val="00673963"/>
    <w:rsid w:val="00674502"/>
    <w:rsid w:val="006A28E5"/>
    <w:rsid w:val="006B1293"/>
    <w:rsid w:val="006E20B7"/>
    <w:rsid w:val="006F05C2"/>
    <w:rsid w:val="00704AE8"/>
    <w:rsid w:val="00716EF9"/>
    <w:rsid w:val="00723F5E"/>
    <w:rsid w:val="0074554A"/>
    <w:rsid w:val="00773D01"/>
    <w:rsid w:val="007A5FBF"/>
    <w:rsid w:val="007B2136"/>
    <w:rsid w:val="00827E3A"/>
    <w:rsid w:val="00896594"/>
    <w:rsid w:val="008F7C18"/>
    <w:rsid w:val="009513AF"/>
    <w:rsid w:val="009657A6"/>
    <w:rsid w:val="00977DF0"/>
    <w:rsid w:val="00984C1B"/>
    <w:rsid w:val="009867C1"/>
    <w:rsid w:val="00995CB9"/>
    <w:rsid w:val="009A3AF6"/>
    <w:rsid w:val="009B60BF"/>
    <w:rsid w:val="00A51512"/>
    <w:rsid w:val="00A67F27"/>
    <w:rsid w:val="00AD3631"/>
    <w:rsid w:val="00AE2438"/>
    <w:rsid w:val="00B2091D"/>
    <w:rsid w:val="00B9027A"/>
    <w:rsid w:val="00BB1EE1"/>
    <w:rsid w:val="00BE451E"/>
    <w:rsid w:val="00BF11ED"/>
    <w:rsid w:val="00C04840"/>
    <w:rsid w:val="00C243C1"/>
    <w:rsid w:val="00C3611C"/>
    <w:rsid w:val="00C73932"/>
    <w:rsid w:val="00C80308"/>
    <w:rsid w:val="00C83FB1"/>
    <w:rsid w:val="00CB1C2C"/>
    <w:rsid w:val="00CB20D3"/>
    <w:rsid w:val="00CC70AA"/>
    <w:rsid w:val="00D05C71"/>
    <w:rsid w:val="00D5254D"/>
    <w:rsid w:val="00D577D1"/>
    <w:rsid w:val="00D5787C"/>
    <w:rsid w:val="00D67064"/>
    <w:rsid w:val="00D95A05"/>
    <w:rsid w:val="00DE4992"/>
    <w:rsid w:val="00DE7451"/>
    <w:rsid w:val="00DF5FEF"/>
    <w:rsid w:val="00E028A0"/>
    <w:rsid w:val="00E37448"/>
    <w:rsid w:val="00E565B0"/>
    <w:rsid w:val="00E643A2"/>
    <w:rsid w:val="00E76EFA"/>
    <w:rsid w:val="00F3606C"/>
    <w:rsid w:val="00F6663B"/>
    <w:rsid w:val="00F71A77"/>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D9C3"/>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7E51-FA0F-4528-B568-030B1F25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1356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8</cp:revision>
  <dcterms:created xsi:type="dcterms:W3CDTF">2018-06-29T12:18:00Z</dcterms:created>
  <dcterms:modified xsi:type="dcterms:W3CDTF">2022-02-21T08:21:00Z</dcterms:modified>
</cp:coreProperties>
</file>